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  <w:r>
        <w:rPr>
          <w:rFonts w:hint="default" w:ascii="Calibri" w:hAnsi="Calibri" w:cs="Calibri"/>
          <w:b/>
          <w:bCs/>
          <w:sz w:val="32"/>
          <w:szCs w:val="22"/>
        </w:rPr>
        <w:t>XXI</w:t>
      </w:r>
      <w:r>
        <w:rPr>
          <w:rFonts w:hint="default" w:ascii="Calibri" w:hAnsi="Calibri" w:cs="Calibri"/>
          <w:b/>
          <w:bCs/>
          <w:sz w:val="32"/>
          <w:szCs w:val="22"/>
          <w:lang w:val="pt-PT"/>
        </w:rPr>
        <w:t>V</w:t>
      </w:r>
      <w:r>
        <w:rPr>
          <w:rFonts w:hint="default" w:ascii="Calibri" w:hAnsi="Calibri" w:cs="Calibri"/>
          <w:b/>
          <w:bCs/>
          <w:sz w:val="32"/>
          <w:szCs w:val="22"/>
        </w:rPr>
        <w:t xml:space="preserve"> CONGRESSO NACIONAL PARTIDO SOCIALISTA</w:t>
      </w:r>
    </w:p>
    <w:p>
      <w:pPr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</w:p>
    <w:p>
      <w:pPr>
        <w:shd w:val="clear" w:color="auto" w:fill="B3B3B3"/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  <w:r>
        <w:rPr>
          <w:rFonts w:hint="default" w:ascii="Calibri" w:hAnsi="Calibri" w:cs="Calibri"/>
          <w:b/>
          <w:bCs/>
          <w:sz w:val="32"/>
          <w:szCs w:val="22"/>
        </w:rPr>
        <w:t>MOÇÃO SETORIAL</w:t>
      </w:r>
    </w:p>
    <w:p>
      <w:pPr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</w:p>
    <w:p>
      <w:pPr>
        <w:spacing w:line="276" w:lineRule="auto"/>
        <w:jc w:val="left"/>
        <w:rPr>
          <w:rFonts w:hint="default" w:ascii="Calibri" w:hAnsi="Calibri" w:cs="Calibri"/>
          <w:b/>
          <w:bCs/>
          <w:sz w:val="24"/>
          <w:szCs w:val="22"/>
        </w:rPr>
      </w:pPr>
    </w:p>
    <w:p>
      <w:pPr>
        <w:spacing w:line="360" w:lineRule="auto"/>
        <w:jc w:val="both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Violência Doméstica: prevenir a dupla vitimização</w:t>
      </w:r>
    </w:p>
    <w:p>
      <w:pPr>
        <w:spacing w:line="360" w:lineRule="auto"/>
        <w:jc w:val="both"/>
        <w:rPr>
          <w:rFonts w:hint="default" w:ascii="Calibri" w:hAnsi="Calibri" w:cs="Calibri"/>
          <w:b/>
          <w:bCs/>
          <w:sz w:val="24"/>
          <w:szCs w:val="24"/>
        </w:rPr>
      </w:pPr>
    </w:p>
    <w:p>
      <w:pPr>
        <w:spacing w:line="360" w:lineRule="auto"/>
        <w:jc w:val="both"/>
        <w:rPr>
          <w:rFonts w:hint="default" w:ascii="Calibri" w:hAnsi="Calibri" w:cs="Calibri"/>
          <w:bCs/>
          <w:sz w:val="24"/>
          <w:szCs w:val="24"/>
        </w:rPr>
      </w:pPr>
    </w:p>
    <w:p>
      <w:pPr>
        <w:spacing w:line="360" w:lineRule="auto"/>
        <w:jc w:val="both"/>
        <w:rPr>
          <w:rFonts w:hint="default" w:ascii="Calibri" w:hAnsi="Calibri" w:cs="Calibri"/>
          <w:bCs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Apesar de a prevenção e combate à Violência Doméstica ter assumido centralidade política em todas as governações socialistas, quer ao nível da aprovação de leis que tornaram público este tipo de crime e de leis de proteção das vítimas, quer ao nível da criação e implementação de uma Rede Nacional de Apoio às Vítimas de Violência Doméstica (RNAVVD) e de salas de atendimento às vítimas nas instalações das forças de segurança, bem como através de uma forte articulação com as autarquias e as Organizações Não-Governamentais (ONG), e outras entidades, no apoio às vítimas, este fenómeno </w:t>
      </w:r>
      <w:r>
        <w:rPr>
          <w:rFonts w:hint="default" w:ascii="Calibri" w:hAnsi="Calibri" w:cs="Calibri"/>
          <w:bCs/>
          <w:sz w:val="24"/>
          <w:szCs w:val="24"/>
          <w:lang w:val="pt-PT"/>
        </w:rPr>
        <w:t>continua</w:t>
      </w:r>
      <w:r>
        <w:rPr>
          <w:rFonts w:hint="default" w:ascii="Calibri" w:hAnsi="Calibri" w:cs="Calibri"/>
          <w:bCs/>
          <w:sz w:val="24"/>
          <w:szCs w:val="24"/>
        </w:rPr>
        <w:t xml:space="preserve"> longe de ser erradicado. </w:t>
      </w:r>
    </w:p>
    <w:p>
      <w:pPr>
        <w:spacing w:line="360" w:lineRule="auto"/>
        <w:jc w:val="both"/>
        <w:rPr>
          <w:rFonts w:hint="default" w:ascii="Calibri" w:hAnsi="Calibri" w:cs="Calibri"/>
          <w:bCs/>
          <w:sz w:val="24"/>
          <w:szCs w:val="24"/>
        </w:rPr>
      </w:pPr>
    </w:p>
    <w:p>
      <w:pPr>
        <w:spacing w:line="360" w:lineRule="auto"/>
        <w:jc w:val="both"/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As queixas mantêm-se em patamares muito elevados e o homicídio em contexto de intimidade continua a vitimar cerca de 3 mulheres por mês, assassinadas pelos companheiros com quem vivem ou viveram. </w:t>
      </w:r>
      <w:r>
        <w:rPr>
          <w:rFonts w:hint="default" w:ascii="Calibri" w:hAnsi="Calibri" w:cs="Calibri"/>
          <w:sz w:val="24"/>
          <w:szCs w:val="24"/>
        </w:rPr>
        <w:t xml:space="preserve">O número de queixas apresentadas às forças de segurança </w:t>
      </w:r>
      <w:r>
        <w:rPr>
          <w:rFonts w:hint="default" w:ascii="Calibri" w:hAnsi="Calibri" w:cs="Calibri"/>
          <w:sz w:val="24"/>
          <w:szCs w:val="24"/>
          <w:lang w:val="pt-PT"/>
        </w:rPr>
        <w:t xml:space="preserve">continua a </w:t>
      </w:r>
      <w:r>
        <w:rPr>
          <w:rFonts w:hint="default" w:ascii="Calibri" w:hAnsi="Calibri" w:cs="Calibri"/>
          <w:sz w:val="24"/>
          <w:szCs w:val="24"/>
        </w:rPr>
        <w:t>ronda</w:t>
      </w:r>
      <w:r>
        <w:rPr>
          <w:rFonts w:hint="default" w:ascii="Calibri" w:hAnsi="Calibri" w:cs="Calibri"/>
          <w:sz w:val="24"/>
          <w:szCs w:val="24"/>
          <w:lang w:val="pt-PT"/>
        </w:rPr>
        <w:t>r</w:t>
      </w:r>
      <w:r>
        <w:rPr>
          <w:rFonts w:hint="default" w:ascii="Calibri" w:hAnsi="Calibri" w:cs="Calibri"/>
          <w:sz w:val="24"/>
          <w:szCs w:val="24"/>
        </w:rPr>
        <w:t xml:space="preserve"> as 30 mil por ano. E</w:t>
      </w:r>
      <w:r>
        <w:rPr>
          <w:rFonts w:hint="default" w:ascii="Calibri" w:hAnsi="Calibri" w:cs="Calibri"/>
          <w:sz w:val="24"/>
          <w:szCs w:val="24"/>
          <w:lang w:val="pt-PT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a 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RNAVVD 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continua a 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>efetu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>ar dezenas de milhares de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 atendimentos (presenciais e não presenciais), sendo que a esmagadora maioria das vítimas atendidas 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>são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 mulheres.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 Todos os dados foram apresentados ao Congresso em 2021. Em 2023, a realidade permanece inalterada, apesar dos esforços. </w:t>
      </w:r>
    </w:p>
    <w:p>
      <w:pPr>
        <w:spacing w:line="360" w:lineRule="auto"/>
        <w:jc w:val="both"/>
        <w:rPr>
          <w:rFonts w:hint="default" w:ascii="Calibri" w:hAnsi="Calibri" w:cs="Calibri"/>
          <w:sz w:val="24"/>
          <w:szCs w:val="24"/>
          <w:shd w:val="clear" w:color="auto" w:fill="FFFFFF"/>
        </w:rPr>
      </w:pP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Para muitas 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>d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>as vítimas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>,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 a resposta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 à violência doméstica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 passa por se refugiarem com os seus filhos em casas de abrigo, abandonando todo o seu quadro normal de inserção, o que as coloca numa situação de dupla vitimização, para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 a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 qual, apesar de todos os esforços, ainda não se encontrou uma alternativa mais eficaz de autonomia e proteção, que retire o ónus das vítimas.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sz w:val="24"/>
          <w:szCs w:val="24"/>
          <w:shd w:val="clear" w:color="auto" w:fill="FFFFFF"/>
        </w:rPr>
        <w:t>A RNAVVD acolhe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>, todos os anos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, 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centenas e centenas de 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vítimas, incluindo filhos menores de idade ou maiores com deficiência, em casas de abrigo. A este número somam-se os casos, que não se conhecem, de vítimas refugiadas em casa de familiares ou 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de 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pessoas amigas, ou 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que ficam 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>por sua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 própria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 conta</w:t>
      </w:r>
      <w:r>
        <w:rPr>
          <w:rFonts w:hint="default" w:ascii="Calibri" w:hAnsi="Calibri" w:cs="Calibri"/>
          <w:sz w:val="24"/>
          <w:szCs w:val="24"/>
          <w:shd w:val="clear" w:color="auto" w:fill="FFFFFF"/>
          <w:lang w:val="pt-PT"/>
        </w:rPr>
        <w:t xml:space="preserve"> e risco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 xml:space="preserve">. É neste ponto que o combate à VD revela uma das suas fragilidades. 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Com efeito, estamos perante uma grave violação dos Direitos Humanos, violando desde logo o </w:t>
      </w:r>
      <w:bookmarkStart w:id="0" w:name="3"/>
      <w:r>
        <w:rPr>
          <w:rFonts w:hint="default" w:ascii="Calibri" w:hAnsi="Calibri" w:cs="Calibri"/>
          <w:bCs/>
          <w:sz w:val="24"/>
          <w:szCs w:val="24"/>
        </w:rPr>
        <w:t>Artigo 3.º</w:t>
      </w:r>
      <w:bookmarkEnd w:id="0"/>
      <w:r>
        <w:rPr>
          <w:rFonts w:hint="default" w:ascii="Calibri" w:hAnsi="Calibri" w:cs="Calibri"/>
          <w:bCs/>
          <w:sz w:val="24"/>
          <w:szCs w:val="24"/>
        </w:rPr>
        <w:t xml:space="preserve"> da Declaração Universal dos Direitos Humanos (</w:t>
      </w:r>
      <w:r>
        <w:rPr>
          <w:rFonts w:hint="default" w:ascii="Calibri" w:hAnsi="Calibri" w:cs="Calibri"/>
          <w:bCs/>
          <w:i/>
          <w:sz w:val="24"/>
          <w:szCs w:val="24"/>
        </w:rPr>
        <w:t>t</w:t>
      </w:r>
      <w:r>
        <w:rPr>
          <w:rFonts w:hint="default" w:ascii="Calibri" w:hAnsi="Calibri" w:cs="Calibri"/>
          <w:i/>
          <w:sz w:val="24"/>
          <w:szCs w:val="24"/>
        </w:rPr>
        <w:t>odo o indivíduo tem direito à vida, à liberdade e à segurança pessoal</w:t>
      </w:r>
      <w:r>
        <w:rPr>
          <w:rFonts w:hint="default" w:ascii="Calibri" w:hAnsi="Calibri" w:cs="Calibri"/>
          <w:sz w:val="24"/>
          <w:szCs w:val="24"/>
        </w:rPr>
        <w:t xml:space="preserve">). No mesmo sentido, a VD é igualmente uma grosseira violação do Artigo 25.º (Direito à integridade pessoal) da Constituição da República Portuguesa: 1. </w:t>
      </w:r>
      <w:r>
        <w:rPr>
          <w:rFonts w:hint="default" w:ascii="Calibri" w:hAnsi="Calibri" w:cs="Calibri"/>
          <w:i/>
          <w:sz w:val="24"/>
          <w:szCs w:val="24"/>
        </w:rPr>
        <w:t>A integridade moral e física das pessoas é inviolável</w:t>
      </w:r>
      <w:r>
        <w:rPr>
          <w:rFonts w:hint="default" w:ascii="Calibri" w:hAnsi="Calibri" w:cs="Calibri"/>
          <w:sz w:val="24"/>
          <w:szCs w:val="24"/>
        </w:rPr>
        <w:t xml:space="preserve">. 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Esta situação tem por base um desequilíbrio de poder entre homens e mulheres que leva a uma grave discriminação contra as mulheres, tanto na sociedade como na família, retirando-lhes a possibilidade de usufruírem de liberdades fundamentais. Segundo o Conselho da Europa, este facto constitui um enorme obstáculo e prejudica a paz, a segurança e a democracia na Europa.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bCs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>Portugal dispõe já de um instrumento de prevenção da reincidência direcionado para o agressor, normalmente designado por “tratamento de agressores”. Criado em 2009, o Programa para Agressores de Violência Doméstica passou de projeto piloto a plano efetivo de ressocialização, incluindo sessões de conteúdo psico-educacional que visam a aquisição de competências e a mudança de atitudes e comportamentos violentos. Esta foi uma medida pioneira, que tem vindo a fazer o seu percurso e tem merecido nota positiva por parte das autoridades nacionais e internacionais, pelo que este caminho de inovação pode ser prosseguido e aprofundado.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strike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 Moção de Estratégia Global que tem como título “</w:t>
      </w:r>
      <w:r>
        <w:rPr>
          <w:rFonts w:hint="default" w:ascii="Calibri" w:hAnsi="Calibri" w:cs="Calibri"/>
          <w:sz w:val="24"/>
          <w:szCs w:val="24"/>
          <w:lang w:val="pt-PT"/>
        </w:rPr>
        <w:t>O Futuro é Igualdade</w:t>
      </w:r>
      <w:r>
        <w:rPr>
          <w:rFonts w:hint="default" w:ascii="Calibri" w:hAnsi="Calibri" w:cs="Calibri"/>
          <w:sz w:val="24"/>
          <w:szCs w:val="24"/>
        </w:rPr>
        <w:t xml:space="preserve">”, num dos seus pontos propõe “a definição de medidas de afastamento dos agressores, 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que</w:t>
      </w:r>
      <w:r>
        <w:rPr>
          <w:rFonts w:hint="default" w:ascii="Calibri" w:hAnsi="Calibri" w:cs="Calibri"/>
          <w:sz w:val="24"/>
          <w:szCs w:val="24"/>
          <w:lang w:val="pt-PT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previnam a dupla vitimização e contribuam para a autonomia das vítimas e rápida reconstrução dos seus projetos de vida”.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bCs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>É necessário avançar por esta via, alterando o paradigma da centralização do combate e da proteção na vítima, através a adoção de medidas que permitam à vítima manter-se em segurança no seu domicílio, afastando, por sua vez, o agressor.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 xml:space="preserve">Assim, propomos, na linha de algumas boas práticas internacionais, que se criem medidas robustas e eficazes que assegurem o afastamento de agressores para, depois de devidamente avaliada a situação de risco, evitar-se a dupla vitimização a que as vítimas deste crime violento muitas vezes ficam sujeitas. 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 w:cs="Calibri"/>
          <w:b/>
          <w:bCs/>
          <w:sz w:val="24"/>
          <w:szCs w:val="24"/>
          <w:lang w:val="pt-PT"/>
        </w:rPr>
      </w:pP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 xml:space="preserve">Por outro lado, importa assegurar a expansão da </w:t>
      </w:r>
      <w:r>
        <w:rPr>
          <w:rFonts w:hint="default" w:ascii="Calibri" w:hAnsi="Calibri" w:cs="Calibri"/>
          <w:b/>
          <w:bCs/>
          <w:sz w:val="24"/>
          <w:szCs w:val="24"/>
        </w:rPr>
        <w:t>Rede Nacional de Apoio às Vítimas de Violência Doméstica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 xml:space="preserve">, </w:t>
      </w:r>
      <w:r>
        <w:rPr>
          <w:rFonts w:hint="default" w:ascii="Calibri" w:hAnsi="Calibri" w:cs="Calibri"/>
          <w:b/>
          <w:bCs/>
          <w:sz w:val="24"/>
          <w:szCs w:val="24"/>
        </w:rPr>
        <w:t>de modo a garantir a cobertura integral do território nacional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, que está ainda longe de estar assegurada.</w:t>
      </w:r>
    </w:p>
    <w:p>
      <w:pPr>
        <w:spacing w:after="160" w:line="360" w:lineRule="auto"/>
        <w:contextualSpacing/>
        <w:jc w:val="both"/>
        <w:rPr>
          <w:rFonts w:hint="default" w:ascii="Calibri" w:hAnsi="Calibri" w:cs="Calibri"/>
          <w:b/>
          <w:bCs/>
          <w:kern w:val="0"/>
          <w:sz w:val="24"/>
          <w:szCs w:val="24"/>
          <w:lang w:val="pt-PT"/>
          <w14:ligatures w14:val="none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Garantir assessoria especializada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nos Gabinetes de Apoio e Atendimento a Vítimas em todos os Departamentos de 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I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nvestigação e 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A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ção 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P</w:t>
      </w:r>
      <w:r>
        <w:rPr>
          <w:rFonts w:hint="default" w:ascii="Calibri" w:hAnsi="Calibri" w:cs="Calibri"/>
          <w:b/>
          <w:bCs/>
          <w:sz w:val="24"/>
          <w:szCs w:val="24"/>
        </w:rPr>
        <w:t>enal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, atribuindo desde logo a</w:t>
      </w:r>
      <w:r>
        <w:rPr>
          <w:rFonts w:hint="default" w:ascii="Calibri" w:hAnsi="Calibri" w:cs="Calibri"/>
          <w:b/>
          <w:bCs/>
          <w:kern w:val="0"/>
          <w:sz w:val="24"/>
          <w:szCs w:val="24"/>
          <w14:ligatures w14:val="none"/>
        </w:rPr>
        <w:t>poio judiciário automátic</w:t>
      </w:r>
      <w:r>
        <w:rPr>
          <w:rFonts w:hint="default" w:ascii="Calibri" w:hAnsi="Calibri" w:cs="Calibri"/>
          <w:b/>
          <w:bCs/>
          <w:kern w:val="0"/>
          <w:sz w:val="24"/>
          <w:szCs w:val="24"/>
          <w:lang w:val="pt-PT"/>
          <w14:ligatures w14:val="none"/>
        </w:rPr>
        <w:t xml:space="preserve">o </w:t>
      </w:r>
      <w:r>
        <w:rPr>
          <w:rFonts w:hint="default" w:ascii="Calibri" w:hAnsi="Calibri" w:cs="Calibri"/>
          <w:b/>
          <w:bCs/>
          <w:kern w:val="0"/>
          <w:sz w:val="24"/>
          <w:szCs w:val="24"/>
          <w14:ligatures w14:val="none"/>
        </w:rPr>
        <w:t>a vítimas de VD</w:t>
      </w:r>
      <w:r>
        <w:rPr>
          <w:rFonts w:hint="default" w:ascii="Calibri" w:hAnsi="Calibri" w:cs="Calibri"/>
          <w:b/>
          <w:bCs/>
          <w:kern w:val="0"/>
          <w:sz w:val="24"/>
          <w:szCs w:val="24"/>
          <w:lang w:val="pt-PT"/>
          <w14:ligatures w14:val="none"/>
        </w:rPr>
        <w:t xml:space="preserve">, </w:t>
      </w:r>
      <w:r>
        <w:rPr>
          <w:rFonts w:hint="default" w:ascii="Calibri" w:hAnsi="Calibri" w:cs="Calibri"/>
          <w:b/>
          <w:bCs/>
          <w:kern w:val="0"/>
          <w:sz w:val="24"/>
          <w:szCs w:val="24"/>
          <w14:ligatures w14:val="none"/>
        </w:rPr>
        <w:t>tal como já existe para agressores</w:t>
      </w:r>
      <w:r>
        <w:rPr>
          <w:rFonts w:hint="default" w:ascii="Calibri" w:hAnsi="Calibri" w:cs="Calibri"/>
          <w:b/>
          <w:bCs/>
          <w:kern w:val="0"/>
          <w:sz w:val="24"/>
          <w:szCs w:val="24"/>
          <w:lang w:val="pt-PT"/>
          <w14:ligatures w14:val="none"/>
        </w:rPr>
        <w:t>, são igualmente medidas da mais elementar justiça, que urge adotar.</w:t>
      </w:r>
    </w:p>
    <w:p>
      <w:pPr>
        <w:spacing w:after="160" w:line="360" w:lineRule="auto"/>
        <w:contextualSpacing/>
        <w:jc w:val="both"/>
        <w:rPr>
          <w:rFonts w:hint="default" w:ascii="Calibri" w:hAnsi="Calibri" w:cs="Calibri"/>
          <w:b/>
          <w:bCs/>
          <w:kern w:val="0"/>
          <w:sz w:val="24"/>
          <w:szCs w:val="24"/>
          <w:lang w:val="pt-PT"/>
          <w14:ligatures w14:val="none"/>
        </w:rPr>
      </w:pPr>
    </w:p>
    <w:p>
      <w:pPr>
        <w:spacing w:after="144" w:line="360" w:lineRule="auto"/>
        <w:jc w:val="both"/>
        <w:rPr>
          <w:rFonts w:hint="default" w:ascii="Calibri" w:hAnsi="Calibri" w:cs="Calibri"/>
          <w:b/>
          <w:bCs/>
          <w:sz w:val="24"/>
          <w:szCs w:val="24"/>
          <w:lang w:val="pt-PT"/>
        </w:rPr>
      </w:pP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 xml:space="preserve">Propõe-se igualmente que sejam oferecidas 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respostas mais especializadas para os vários casos de violência doméstica e de género e 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 xml:space="preserve">que haja um </w:t>
      </w:r>
      <w:r>
        <w:rPr>
          <w:rFonts w:hint="default" w:ascii="Calibri" w:hAnsi="Calibri" w:cs="Calibri"/>
          <w:b/>
          <w:bCs/>
          <w:sz w:val="24"/>
          <w:szCs w:val="24"/>
        </w:rPr>
        <w:t>reforç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o da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 formação especializada aos diferentes intervenientes no sistema de prevenção e proteção das vítimas de violência doméstica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 xml:space="preserve">, aprofundando a aposta na prevenção, que deve iniciar-se o mais precocemente possível. Para isso, importa assegurar a promoção de </w:t>
      </w:r>
      <w:r>
        <w:rPr>
          <w:rFonts w:hint="default" w:ascii="Calibri" w:hAnsi="Calibri" w:cs="Calibri"/>
          <w:b/>
          <w:bCs/>
          <w:sz w:val="24"/>
          <w:szCs w:val="24"/>
        </w:rPr>
        <w:t>programas de prevenção primária dirigido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s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 a todos os ciclos de ensino, a aplicar de forma transversal em todas as disciplinas, com o objetivo de erradicar a tolerância social às várias formas de violência doméstica e violência de género e criar uma cultura coletiva anti violência nas relações de intimidade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cs="Open Sans"/>
          <w:b/>
          <w:bCs/>
          <w:sz w:val="20"/>
          <w:szCs w:val="20"/>
          <w:lang w:val="pt-PT"/>
        </w:rPr>
      </w:pPr>
    </w:p>
    <w:p>
      <w:pPr>
        <w:pStyle w:val="13"/>
        <w:shd w:val="clear" w:color="auto" w:fill="FFFFFF"/>
        <w:spacing w:before="0" w:beforeAutospacing="0" w:after="225" w:afterAutospacing="0" w:line="360" w:lineRule="auto"/>
        <w:jc w:val="right"/>
        <w:rPr>
          <w:rFonts w:hint="default" w:ascii="Helvetica" w:hAnsi="Helvetica" w:cs="Helvetica"/>
          <w:bCs/>
          <w:sz w:val="22"/>
          <w:szCs w:val="22"/>
          <w:lang w:val="pt-PT"/>
        </w:rPr>
      </w:pPr>
      <w:r>
        <w:rPr>
          <w:rFonts w:hint="default" w:ascii="Helvetica" w:hAnsi="Helvetica" w:cs="Helvetica"/>
          <w:bCs/>
          <w:sz w:val="22"/>
          <w:szCs w:val="22"/>
          <w:lang w:val="pt-PT"/>
        </w:rPr>
        <w:t>janeiro</w:t>
      </w:r>
      <w:r>
        <w:rPr>
          <w:rFonts w:ascii="Helvetica" w:hAnsi="Helvetica" w:cs="Helvetica"/>
          <w:bCs/>
          <w:sz w:val="22"/>
          <w:szCs w:val="22"/>
        </w:rPr>
        <w:t xml:space="preserve"> |202</w:t>
      </w:r>
      <w:r>
        <w:rPr>
          <w:rFonts w:hint="default" w:ascii="Helvetica" w:hAnsi="Helvetica" w:cs="Helvetica"/>
          <w:bCs/>
          <w:sz w:val="22"/>
          <w:szCs w:val="22"/>
          <w:lang w:val="pt-PT"/>
        </w:rPr>
        <w:t>4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right"/>
        <w:rPr>
          <w:rFonts w:ascii="Helvetica" w:hAnsi="Helvetica" w:cs="Helvetica"/>
          <w:bCs/>
          <w:sz w:val="22"/>
          <w:szCs w:val="22"/>
        </w:rPr>
      </w:pPr>
    </w:p>
    <w:p>
      <w:pPr>
        <w:pStyle w:val="13"/>
        <w:shd w:val="clear" w:color="auto" w:fill="FFFFFF"/>
        <w:spacing w:before="0" w:beforeAutospacing="0" w:after="225" w:afterAutospacing="0" w:line="360" w:lineRule="auto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Subscrevem: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rPr>
          <w:rFonts w:hint="default" w:ascii="Helvetica" w:hAnsi="Helvetica" w:cs="Helvetica"/>
          <w:bCs/>
          <w:sz w:val="22"/>
          <w:szCs w:val="22"/>
          <w:lang w:val="pt-PT"/>
        </w:rPr>
      </w:pPr>
      <w:r>
        <w:rPr>
          <w:rFonts w:ascii="Helvetica" w:hAnsi="Helvetica" w:cs="Helvetica"/>
          <w:bCs/>
          <w:sz w:val="22"/>
          <w:szCs w:val="22"/>
        </w:rPr>
        <w:t>La Salette Marques</w:t>
      </w:r>
      <w:r>
        <w:rPr>
          <w:rFonts w:hint="default" w:ascii="Helvetica" w:hAnsi="Helvetica" w:cs="Helvetica"/>
          <w:bCs/>
          <w:sz w:val="22"/>
          <w:szCs w:val="22"/>
          <w:lang w:val="pt-PT"/>
        </w:rPr>
        <w:t xml:space="preserve"> - 131 164</w:t>
      </w:r>
      <w:bookmarkStart w:id="1" w:name="_GoBack"/>
      <w:bookmarkEnd w:id="1"/>
    </w:p>
    <w:sectPr>
      <w:headerReference r:id="rId5" w:type="default"/>
      <w:pgSz w:w="11906" w:h="16838"/>
      <w:pgMar w:top="3119" w:right="1274" w:bottom="1843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/>
      <w:suppressLineNumbers w:val="0"/>
      <w:jc w:val="center"/>
    </w:pPr>
    <w:r>
      <w:drawing>
        <wp:inline distT="0" distB="0" distL="114300" distR="114300">
          <wp:extent cx="2255520" cy="965835"/>
          <wp:effectExtent l="0" t="0" r="5080" b="12065"/>
          <wp:docPr id="1" name="Imagem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IMG_25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5520" cy="9658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20"/>
    <w:rsid w:val="0000431E"/>
    <w:rsid w:val="000339DF"/>
    <w:rsid w:val="00035757"/>
    <w:rsid w:val="000363BB"/>
    <w:rsid w:val="00047752"/>
    <w:rsid w:val="00057BBC"/>
    <w:rsid w:val="000627F3"/>
    <w:rsid w:val="000C43C7"/>
    <w:rsid w:val="000E4DED"/>
    <w:rsid w:val="000E5D51"/>
    <w:rsid w:val="0010248A"/>
    <w:rsid w:val="00141DF8"/>
    <w:rsid w:val="00150BC1"/>
    <w:rsid w:val="001925AC"/>
    <w:rsid w:val="001A4B33"/>
    <w:rsid w:val="001E479C"/>
    <w:rsid w:val="001E5C92"/>
    <w:rsid w:val="0025776E"/>
    <w:rsid w:val="002D0F55"/>
    <w:rsid w:val="002D269F"/>
    <w:rsid w:val="002E2B71"/>
    <w:rsid w:val="00316F29"/>
    <w:rsid w:val="003708B4"/>
    <w:rsid w:val="003A661C"/>
    <w:rsid w:val="003A698C"/>
    <w:rsid w:val="003A7885"/>
    <w:rsid w:val="003B223C"/>
    <w:rsid w:val="003B6F20"/>
    <w:rsid w:val="003C75CB"/>
    <w:rsid w:val="00420E90"/>
    <w:rsid w:val="0043041E"/>
    <w:rsid w:val="00446668"/>
    <w:rsid w:val="004521ED"/>
    <w:rsid w:val="004857AF"/>
    <w:rsid w:val="004C3593"/>
    <w:rsid w:val="004F5C90"/>
    <w:rsid w:val="00513BFE"/>
    <w:rsid w:val="00530102"/>
    <w:rsid w:val="0055598A"/>
    <w:rsid w:val="00556D78"/>
    <w:rsid w:val="00572180"/>
    <w:rsid w:val="0057623E"/>
    <w:rsid w:val="005928A3"/>
    <w:rsid w:val="005A1389"/>
    <w:rsid w:val="005C1D67"/>
    <w:rsid w:val="005C6613"/>
    <w:rsid w:val="005E6413"/>
    <w:rsid w:val="006025C1"/>
    <w:rsid w:val="00604F6F"/>
    <w:rsid w:val="00651E6A"/>
    <w:rsid w:val="00656D11"/>
    <w:rsid w:val="00671E87"/>
    <w:rsid w:val="00673F8A"/>
    <w:rsid w:val="006A1779"/>
    <w:rsid w:val="006A44C4"/>
    <w:rsid w:val="00700F47"/>
    <w:rsid w:val="0070743F"/>
    <w:rsid w:val="00733026"/>
    <w:rsid w:val="00767A3D"/>
    <w:rsid w:val="00771855"/>
    <w:rsid w:val="007C528B"/>
    <w:rsid w:val="007E382B"/>
    <w:rsid w:val="008250D1"/>
    <w:rsid w:val="008771B9"/>
    <w:rsid w:val="008A142F"/>
    <w:rsid w:val="008B3B2D"/>
    <w:rsid w:val="008C3282"/>
    <w:rsid w:val="008D7376"/>
    <w:rsid w:val="008E2D79"/>
    <w:rsid w:val="00960639"/>
    <w:rsid w:val="00962EAE"/>
    <w:rsid w:val="00963A71"/>
    <w:rsid w:val="009767D5"/>
    <w:rsid w:val="009B0E74"/>
    <w:rsid w:val="009F1D1D"/>
    <w:rsid w:val="009F6C67"/>
    <w:rsid w:val="00A33B5A"/>
    <w:rsid w:val="00A350E7"/>
    <w:rsid w:val="00A551F3"/>
    <w:rsid w:val="00A55377"/>
    <w:rsid w:val="00A60B05"/>
    <w:rsid w:val="00A623F8"/>
    <w:rsid w:val="00A92096"/>
    <w:rsid w:val="00AA076D"/>
    <w:rsid w:val="00AB6A46"/>
    <w:rsid w:val="00B15D5B"/>
    <w:rsid w:val="00B27D03"/>
    <w:rsid w:val="00B35D2D"/>
    <w:rsid w:val="00B519BA"/>
    <w:rsid w:val="00B5727D"/>
    <w:rsid w:val="00B67995"/>
    <w:rsid w:val="00B67CF3"/>
    <w:rsid w:val="00BE1FCC"/>
    <w:rsid w:val="00BF02BF"/>
    <w:rsid w:val="00C02B53"/>
    <w:rsid w:val="00C33EBE"/>
    <w:rsid w:val="00C37E93"/>
    <w:rsid w:val="00C57932"/>
    <w:rsid w:val="00C7737E"/>
    <w:rsid w:val="00C862F7"/>
    <w:rsid w:val="00C978FC"/>
    <w:rsid w:val="00CD38C2"/>
    <w:rsid w:val="00CE09D4"/>
    <w:rsid w:val="00CF4686"/>
    <w:rsid w:val="00D13331"/>
    <w:rsid w:val="00D17F8E"/>
    <w:rsid w:val="00D34FC2"/>
    <w:rsid w:val="00D54953"/>
    <w:rsid w:val="00D81D04"/>
    <w:rsid w:val="00D844B8"/>
    <w:rsid w:val="00E0451F"/>
    <w:rsid w:val="00E23B82"/>
    <w:rsid w:val="00E62FA0"/>
    <w:rsid w:val="00E85A20"/>
    <w:rsid w:val="00E87A96"/>
    <w:rsid w:val="00E87E86"/>
    <w:rsid w:val="00EA44A1"/>
    <w:rsid w:val="00EB1BEF"/>
    <w:rsid w:val="00EC6D15"/>
    <w:rsid w:val="00ED389F"/>
    <w:rsid w:val="00EE0CD4"/>
    <w:rsid w:val="00EF3129"/>
    <w:rsid w:val="00FA1198"/>
    <w:rsid w:val="00FA47C7"/>
    <w:rsid w:val="00FB0974"/>
    <w:rsid w:val="00FB2BFE"/>
    <w:rsid w:val="00FE6E64"/>
    <w:rsid w:val="137225DA"/>
    <w:rsid w:val="50C0402C"/>
    <w:rsid w:val="53E238FE"/>
    <w:rsid w:val="7D5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nhideWhenUsed="0" w:uiPriority="99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360" w:lineRule="auto"/>
      <w:jc w:val="both"/>
    </w:pPr>
    <w:rPr>
      <w:rFonts w:ascii="Arial" w:hAnsi="Arial" w:eastAsia="Times New Roman" w:cs="Times New Roman"/>
      <w:sz w:val="22"/>
      <w:szCs w:val="24"/>
      <w:lang w:val="pt-PT" w:eastAsia="pt-P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252"/>
        <w:tab w:val="right" w:pos="8504"/>
      </w:tabs>
      <w:spacing w:line="240" w:lineRule="auto"/>
    </w:p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252"/>
        <w:tab w:val="right" w:pos="8504"/>
      </w:tabs>
      <w:spacing w:line="240" w:lineRule="auto"/>
    </w:p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Texto de balão Caráter"/>
    <w:basedOn w:val="2"/>
    <w:link w:val="4"/>
    <w:semiHidden/>
    <w:uiPriority w:val="99"/>
    <w:rPr>
      <w:rFonts w:ascii="Segoe UI" w:hAnsi="Segoe UI" w:cs="Segoe UI"/>
      <w:sz w:val="18"/>
      <w:szCs w:val="18"/>
      <w:lang w:eastAsia="pt-PT"/>
    </w:rPr>
  </w:style>
  <w:style w:type="character" w:customStyle="1" w:styleId="10">
    <w:name w:val="Cabeçalho Caráter"/>
    <w:basedOn w:val="2"/>
    <w:link w:val="6"/>
    <w:qFormat/>
    <w:uiPriority w:val="99"/>
    <w:rPr>
      <w:rFonts w:ascii="Arial" w:hAnsi="Arial" w:cs="Times New Roman"/>
      <w:szCs w:val="24"/>
      <w:lang w:eastAsia="pt-PT"/>
    </w:rPr>
  </w:style>
  <w:style w:type="character" w:customStyle="1" w:styleId="11">
    <w:name w:val="Rodapé Caráter"/>
    <w:basedOn w:val="2"/>
    <w:link w:val="5"/>
    <w:qFormat/>
    <w:uiPriority w:val="99"/>
    <w:rPr>
      <w:rFonts w:ascii="Arial" w:hAnsi="Arial" w:cs="Times New Roman"/>
      <w:szCs w:val="24"/>
      <w:lang w:eastAsia="pt-PT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paragraph" w:customStyle="1" w:styleId="13">
    <w:name w:val="articulado"/>
    <w:basedOn w:val="1"/>
    <w:qFormat/>
    <w:uiPriority w:val="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804</Words>
  <Characters>4346</Characters>
  <Lines>36</Lines>
  <Paragraphs>10</Paragraphs>
  <TotalTime>39</TotalTime>
  <ScaleCrop>false</ScaleCrop>
  <LinksUpToDate>false</LinksUpToDate>
  <CharactersWithSpaces>5140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2021-06-18T15:50:00Z</dcterms:created>
  <dc:creator>Alexandra Tavares de Moura</dc:creator>
  <cp:lastModifiedBy>HP</cp:lastModifiedBy>
  <cp:lastPrinted>2021-08-25T18:01:00Z</cp:lastPrinted>
  <dcterms:modified xsi:type="dcterms:W3CDTF">2023-12-27T23:22:23Z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2070-12.2.0.13359</vt:lpwstr>
  </property>
  <property fmtid="{D5CDD505-2E9C-101B-9397-08002B2CF9AE}" pid="3" name="ICV">
    <vt:lpwstr>090411C047E84CA2861F1704F870213D_13</vt:lpwstr>
  </property>
</Properties>
</file>