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O compromisso com a agenda de desenvolvimento sustent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vel</w:t>
      </w:r>
      <w:r>
        <w:rPr>
          <w:sz w:val="28"/>
          <w:szCs w:val="28"/>
          <w:rtl w:val="0"/>
          <w:lang w:val="pt-PT"/>
        </w:rPr>
        <w:t xml:space="preserve">, </w:t>
      </w:r>
      <w:r>
        <w:rPr>
          <w:sz w:val="28"/>
          <w:szCs w:val="28"/>
          <w:rtl w:val="0"/>
          <w:lang w:val="pt-PT"/>
        </w:rPr>
        <w:t>que o Partido Socialista</w:t>
      </w:r>
      <w:r>
        <w:rPr>
          <w:sz w:val="28"/>
          <w:szCs w:val="28"/>
          <w:rtl w:val="0"/>
          <w:lang w:val="pt-PT"/>
        </w:rPr>
        <w:t xml:space="preserve"> definiu como prioridade e </w:t>
      </w:r>
      <w:r>
        <w:rPr>
          <w:sz w:val="28"/>
          <w:szCs w:val="28"/>
          <w:rtl w:val="0"/>
          <w:lang w:val="pt-PT"/>
        </w:rPr>
        <w:t>Portugal assumiu como des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gnio</w:t>
      </w:r>
      <w:r>
        <w:rPr>
          <w:sz w:val="28"/>
          <w:szCs w:val="28"/>
          <w:rtl w:val="0"/>
          <w:lang w:val="pt-PT"/>
        </w:rPr>
        <w:t>, constitui-se como uma oportunidade de coes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territorial, de desenvolvimento econ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mico e afirma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todo 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 xml:space="preserve">s no panorama global. </w:t>
      </w:r>
    </w:p>
    <w:p>
      <w:pPr>
        <w:pStyle w:val="Corpo.0"/>
        <w:bidi w:val="0"/>
        <w:spacing w:before="0" w:after="100" w:line="300" w:lineRule="auto"/>
        <w:ind w:left="0" w:right="0" w:firstLine="0"/>
        <w:jc w:val="both"/>
        <w:rPr>
          <w:rFonts w:ascii="Calibri" w:cs="Calibri" w:hAnsi="Calibri" w:eastAsia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s</w:t>
      </w:r>
      <w:r>
        <w:rPr>
          <w:rFonts w:ascii="Calibri" w:hAnsi="Calibri" w:hint="default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culo XXI </w:t>
      </w:r>
      <w:r>
        <w:rPr>
          <w:rFonts w:ascii="Calibri" w:hAnsi="Calibri" w:hint="default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momento da CleanTech. Tecnologia alimentada por energias limpas, num territ</w:t>
      </w:r>
      <w:r>
        <w:rPr>
          <w:rFonts w:ascii="Calibri" w:hAnsi="Calibri" w:hint="default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rio sustent</w:t>
      </w:r>
      <w:r>
        <w:rPr>
          <w:rFonts w:ascii="Calibri" w:hAnsi="Calibri" w:hint="default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vel.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A cria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um mercado volunt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rio de carbono, j</w:t>
      </w:r>
      <w:r>
        <w:rPr>
          <w:sz w:val="28"/>
          <w:szCs w:val="28"/>
          <w:rtl w:val="0"/>
          <w:lang w:val="pt-PT"/>
        </w:rPr>
        <w:t xml:space="preserve">á </w:t>
      </w:r>
      <w:r>
        <w:rPr>
          <w:sz w:val="28"/>
          <w:szCs w:val="28"/>
          <w:rtl w:val="0"/>
          <w:lang w:val="pt-PT"/>
        </w:rPr>
        <w:t>aprovado pelo Conselho de Ministros e a aguardar, com urg</w:t>
      </w:r>
      <w:r>
        <w:rPr>
          <w:sz w:val="28"/>
          <w:szCs w:val="28"/>
          <w:rtl w:val="0"/>
          <w:lang w:val="pt-PT"/>
        </w:rPr>
        <w:t>ê</w:t>
      </w:r>
      <w:r>
        <w:rPr>
          <w:sz w:val="28"/>
          <w:szCs w:val="28"/>
          <w:rtl w:val="0"/>
          <w:lang w:val="pt-PT"/>
        </w:rPr>
        <w:t>ncia, a promulga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do Senhor Presidente da Rep</w:t>
      </w:r>
      <w:r>
        <w:rPr>
          <w:sz w:val="28"/>
          <w:szCs w:val="28"/>
          <w:rtl w:val="0"/>
          <w:lang w:val="pt-PT"/>
        </w:rPr>
        <w:t>ú</w:t>
      </w:r>
      <w:r>
        <w:rPr>
          <w:sz w:val="28"/>
          <w:szCs w:val="28"/>
          <w:rtl w:val="0"/>
          <w:lang w:val="pt-PT"/>
        </w:rPr>
        <w:t>blica, constitui um importante passo para a valoriza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 de baixa densidade permitindo a cria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valor na preserva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e explora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da floresta e patrim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nio natural que simultaneamente gera n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apenas uma receita financeira para os seus propriet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 xml:space="preserve">rios, como garante um importante incentivo </w:t>
      </w:r>
      <w:r>
        <w:rPr>
          <w:sz w:val="28"/>
          <w:szCs w:val="28"/>
          <w:rtl w:val="0"/>
          <w:lang w:val="pt-PT"/>
        </w:rPr>
        <w:t xml:space="preserve">à </w:t>
      </w:r>
      <w:r>
        <w:rPr>
          <w:sz w:val="28"/>
          <w:szCs w:val="28"/>
          <w:rtl w:val="0"/>
          <w:lang w:val="pt-PT"/>
        </w:rPr>
        <w:t>preserva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rios, possibilitando ao setor empresarial mundial adquirir cr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ditos de carbono que possam compensar a produ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emiss</w:t>
      </w:r>
      <w:r>
        <w:rPr>
          <w:sz w:val="28"/>
          <w:szCs w:val="28"/>
          <w:rtl w:val="0"/>
          <w:lang w:val="pt-PT"/>
        </w:rPr>
        <w:t>õ</w:t>
      </w:r>
      <w:r>
        <w:rPr>
          <w:sz w:val="28"/>
          <w:szCs w:val="28"/>
          <w:rtl w:val="0"/>
          <w:lang w:val="pt-PT"/>
        </w:rPr>
        <w:t xml:space="preserve">es gasosas resultantes da sua atividade em qualquer parte do mundo. </w:t>
      </w:r>
      <w:r>
        <w:rPr>
          <w:sz w:val="28"/>
          <w:szCs w:val="28"/>
          <w:rtl w:val="0"/>
          <w:lang w:val="pt-PT"/>
        </w:rPr>
        <w:t>A valoriza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 xml:space="preserve">o da 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pt-PT"/>
        </w:rPr>
        <w:t>gua e da biodiversidade deve seguir-se.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De igual modo o lan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  <w:lang w:val="pt-PT"/>
        </w:rPr>
        <w:t>amento do concurso p</w:t>
      </w:r>
      <w:r>
        <w:rPr>
          <w:sz w:val="28"/>
          <w:szCs w:val="28"/>
          <w:rtl w:val="0"/>
          <w:lang w:val="pt-PT"/>
        </w:rPr>
        <w:t>ú</w:t>
      </w:r>
      <w:r>
        <w:rPr>
          <w:sz w:val="28"/>
          <w:szCs w:val="28"/>
          <w:rtl w:val="0"/>
          <w:lang w:val="pt-PT"/>
        </w:rPr>
        <w:t>blico internacional, pelo atual Governo, para a instala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 xml:space="preserve">o de redes de banda larga nas chamadas </w:t>
      </w:r>
      <w:r>
        <w:rPr>
          <w:sz w:val="28"/>
          <w:szCs w:val="28"/>
          <w:rtl w:val="0"/>
          <w:lang w:val="pt-PT"/>
        </w:rPr>
        <w:t>“</w:t>
      </w:r>
      <w:r>
        <w:rPr>
          <w:sz w:val="28"/>
          <w:szCs w:val="28"/>
          <w:rtl w:val="0"/>
          <w:lang w:val="pt-PT"/>
        </w:rPr>
        <w:t>zonas brancas</w:t>
      </w:r>
      <w:r>
        <w:rPr>
          <w:sz w:val="28"/>
          <w:szCs w:val="28"/>
          <w:rtl w:val="0"/>
          <w:lang w:val="pt-PT"/>
        </w:rPr>
        <w:t xml:space="preserve">” </w:t>
      </w:r>
      <w:r>
        <w:rPr>
          <w:sz w:val="28"/>
          <w:szCs w:val="28"/>
          <w:rtl w:val="0"/>
          <w:lang w:val="pt-PT"/>
        </w:rPr>
        <w:t>resultar</w:t>
      </w:r>
      <w:r>
        <w:rPr>
          <w:sz w:val="28"/>
          <w:szCs w:val="28"/>
          <w:rtl w:val="0"/>
          <w:lang w:val="pt-PT"/>
        </w:rPr>
        <w:t xml:space="preserve">á </w:t>
      </w:r>
      <w:r>
        <w:rPr>
          <w:sz w:val="28"/>
          <w:szCs w:val="28"/>
          <w:rtl w:val="0"/>
          <w:lang w:val="pt-PT"/>
        </w:rPr>
        <w:t>na cobertura da totalidade do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 continental em 2026/2027 por uma infraestrutura de comunica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essencial para o desenvolvimento dos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 xml:space="preserve">rios na nova economia digital. </w:t>
      </w:r>
      <w:r>
        <w:rPr>
          <w:sz w:val="28"/>
          <w:szCs w:val="28"/>
          <w:rtl w:val="0"/>
          <w:lang w:val="pt-PT"/>
        </w:rPr>
        <w:t>Assim transformamos passivos hist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  <w:lang w:val="pt-PT"/>
        </w:rPr>
        <w:t xml:space="preserve">ricos em activos de futuro. 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Esta conectividade digital permitir</w:t>
      </w:r>
      <w:r>
        <w:rPr>
          <w:sz w:val="28"/>
          <w:szCs w:val="28"/>
          <w:rtl w:val="0"/>
          <w:lang w:val="pt-PT"/>
        </w:rPr>
        <w:t xml:space="preserve">á </w:t>
      </w:r>
      <w:r>
        <w:rPr>
          <w:sz w:val="28"/>
          <w:szCs w:val="28"/>
          <w:rtl w:val="0"/>
          <w:lang w:val="pt-PT"/>
        </w:rPr>
        <w:t>a atra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talento e cria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novas oportunidades de investimento empresarial, em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 xml:space="preserve">rios de baixa densidade que apresentem bons 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ndices de capital humano sendo indispens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vel uma coopera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estreita entre o Estado Central, atrav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s da AICEP e do Minist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 xml:space="preserve">rio da Economia, e as autarquias locais e Comunidades Intermunicipais.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Nestes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 encontramos tamb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m, geralmente, excelentes condi</w:t>
      </w:r>
      <w:r>
        <w:rPr>
          <w:sz w:val="28"/>
          <w:szCs w:val="28"/>
          <w:rtl w:val="0"/>
          <w:lang w:val="pt-PT"/>
        </w:rPr>
        <w:t>çõ</w:t>
      </w:r>
      <w:r>
        <w:rPr>
          <w:sz w:val="28"/>
          <w:szCs w:val="28"/>
          <w:rtl w:val="0"/>
          <w:lang w:val="pt-PT"/>
        </w:rPr>
        <w:t>es para a produ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energias renov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veis e a explora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recursos naturais no subsolo que devem, obrigatoriamente, ser associadas a projetos industriais de gera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valor para al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m da explora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o, que permitam criar e densificar fileiras industriais geradoras de inova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 xml:space="preserve">o, riqueza e emprego. </w:t>
      </w:r>
      <w:r>
        <w:rPr>
          <w:sz w:val="28"/>
          <w:szCs w:val="28"/>
          <w:rtl w:val="0"/>
          <w:lang w:val="pt-PT"/>
        </w:rPr>
        <w:t>Portugal n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 xml:space="preserve">o pode perder esta oportunidade. E as 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pt-PT"/>
        </w:rPr>
        <w:t xml:space="preserve">reas de baixa densidade devem reter uma parte significativa do valor criado, sempre num primado de sustentabilidade. 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 xml:space="preserve">É </w:t>
      </w:r>
      <w:r>
        <w:rPr>
          <w:sz w:val="28"/>
          <w:szCs w:val="28"/>
          <w:rtl w:val="0"/>
          <w:lang w:val="pt-PT"/>
        </w:rPr>
        <w:t>essencial e determinante associar ao licenciamento de explora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industrial de recursos naturais e produ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energias por fontes renov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veis, a instala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projetos industriais que poder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valorizar estes recursos, criando riqueza e empregos qualificados. N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 xml:space="preserve">o </w:t>
      </w:r>
      <w:r>
        <w:rPr>
          <w:sz w:val="28"/>
          <w:szCs w:val="28"/>
          <w:rtl w:val="0"/>
          <w:lang w:val="pt-PT"/>
        </w:rPr>
        <w:t xml:space="preserve">é </w:t>
      </w:r>
      <w:r>
        <w:rPr>
          <w:sz w:val="28"/>
          <w:szCs w:val="28"/>
          <w:rtl w:val="0"/>
          <w:lang w:val="pt-PT"/>
        </w:rPr>
        <w:t>respons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vel licenciar estas explora</w:t>
      </w:r>
      <w:r>
        <w:rPr>
          <w:sz w:val="28"/>
          <w:szCs w:val="28"/>
          <w:rtl w:val="0"/>
          <w:lang w:val="pt-PT"/>
        </w:rPr>
        <w:t>çõ</w:t>
      </w:r>
      <w:r>
        <w:rPr>
          <w:sz w:val="28"/>
          <w:szCs w:val="28"/>
          <w:rtl w:val="0"/>
          <w:lang w:val="pt-PT"/>
        </w:rPr>
        <w:t>es, se as mesmas apenas causam preju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zo a n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vel local e concentram a riqueza da cadeia de valor noutras regi</w:t>
      </w:r>
      <w:r>
        <w:rPr>
          <w:sz w:val="28"/>
          <w:szCs w:val="28"/>
          <w:rtl w:val="0"/>
          <w:lang w:val="pt-PT"/>
        </w:rPr>
        <w:t>õ</w:t>
      </w:r>
      <w:r>
        <w:rPr>
          <w:sz w:val="28"/>
          <w:szCs w:val="28"/>
          <w:rtl w:val="0"/>
          <w:lang w:val="pt-PT"/>
        </w:rPr>
        <w:t>es do mundo. A cria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ecossistemas de inova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associado a estas cadeias de valor podem tamb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m contribuir para novas iniciativas inovadoras, e para que 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 xml:space="preserve">s se afirme como uma sociedade do conhecimento.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 de baixa densidade podem oferecer ao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s os fatores de competitividade necess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rios para que Portugal seja vencedor da dupla transi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digital e clim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tica. O capital humano para a sociedade digital e os recursos naturais essenciais para a ac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digital e clim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>tica encontram-se dispon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veis nos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 xml:space="preserve">rios de baixa densidade, mas </w:t>
      </w:r>
      <w:r>
        <w:rPr>
          <w:sz w:val="28"/>
          <w:szCs w:val="28"/>
          <w:rtl w:val="0"/>
          <w:lang w:val="pt-PT"/>
        </w:rPr>
        <w:t xml:space="preserve">é </w:t>
      </w:r>
      <w:r>
        <w:rPr>
          <w:sz w:val="28"/>
          <w:szCs w:val="28"/>
          <w:rtl w:val="0"/>
          <w:lang w:val="pt-PT"/>
        </w:rPr>
        <w:t>essencial integrar projetos de alto valor acrescentado com a utiliza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destes recursos. Caso tal n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suceda, 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s poder</w:t>
      </w:r>
      <w:r>
        <w:rPr>
          <w:sz w:val="28"/>
          <w:szCs w:val="28"/>
          <w:rtl w:val="0"/>
          <w:lang w:val="pt-PT"/>
        </w:rPr>
        <w:t xml:space="preserve">á </w:t>
      </w:r>
      <w:r>
        <w:rPr>
          <w:sz w:val="28"/>
          <w:szCs w:val="28"/>
          <w:rtl w:val="0"/>
          <w:lang w:val="pt-PT"/>
        </w:rPr>
        <w:t xml:space="preserve">ficar restringido </w:t>
      </w:r>
      <w:r>
        <w:rPr>
          <w:sz w:val="28"/>
          <w:szCs w:val="28"/>
          <w:rtl w:val="0"/>
          <w:lang w:val="pt-PT"/>
        </w:rPr>
        <w:t>à</w:t>
      </w:r>
      <w:r>
        <w:rPr>
          <w:sz w:val="28"/>
          <w:szCs w:val="28"/>
          <w:rtl w:val="0"/>
          <w:lang w:val="pt-PT"/>
        </w:rPr>
        <w:t>s atividades que menos emprego de boa qualidade geram e mais impactos negativos t</w:t>
      </w:r>
      <w:r>
        <w:rPr>
          <w:sz w:val="28"/>
          <w:szCs w:val="28"/>
          <w:rtl w:val="0"/>
          <w:lang w:val="pt-PT"/>
        </w:rPr>
        <w:t>ê</w:t>
      </w:r>
      <w:r>
        <w:rPr>
          <w:sz w:val="28"/>
          <w:szCs w:val="28"/>
          <w:rtl w:val="0"/>
          <w:lang w:val="pt-PT"/>
        </w:rPr>
        <w:t>m para a paisagem e biodiversidade. Pol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ticas que criem cadeias de valor a partir dos recursos existentes em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 de baixa densidade afirmar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a competitividade do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s e alavancar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a economia nacional no mercado global. Nunca o desenvolvimento de investimentos a n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vel regional esteve t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 xml:space="preserve">o fortemente ligado </w:t>
      </w:r>
      <w:r>
        <w:rPr>
          <w:sz w:val="28"/>
          <w:szCs w:val="28"/>
          <w:rtl w:val="0"/>
          <w:lang w:val="pt-PT"/>
        </w:rPr>
        <w:t xml:space="preserve">à </w:t>
      </w:r>
      <w:r>
        <w:rPr>
          <w:sz w:val="28"/>
          <w:szCs w:val="28"/>
          <w:rtl w:val="0"/>
          <w:lang w:val="pt-PT"/>
        </w:rPr>
        <w:t>capacidade de todo 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 xml:space="preserve">s crescer de forma forte e sustentada.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Com a aprova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desta Mo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Setorial pelo XXIV Congresso Nacional, o Partido Socialista, como grande partido progressista e principal construtor do desenvolvimento sustentado em Portugal, deve assumir como des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gnio o desenvolvimento integrado de projetos de alto valor acrescentado, a partir do aproveitamento regional dos fatores competitivos da Economia Verde e Digital existentes nos territ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rios de baixa densidade, alavancando a cria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riqueza para o pa</w:t>
      </w:r>
      <w:r>
        <w:rPr>
          <w:sz w:val="28"/>
          <w:szCs w:val="28"/>
          <w:rtl w:val="0"/>
          <w:lang w:val="pt-PT"/>
        </w:rPr>
        <w:t>í</w:t>
      </w:r>
      <w:r>
        <w:rPr>
          <w:sz w:val="28"/>
          <w:szCs w:val="28"/>
          <w:rtl w:val="0"/>
          <w:lang w:val="pt-PT"/>
        </w:rPr>
        <w:t>s e a sua coes</w:t>
      </w:r>
      <w:r>
        <w:rPr>
          <w:sz w:val="28"/>
          <w:szCs w:val="28"/>
          <w:rtl w:val="0"/>
          <w:lang w:val="pt-PT"/>
        </w:rPr>
        <w:t>ã</w:t>
      </w:r>
      <w:r>
        <w:rPr>
          <w:sz w:val="28"/>
          <w:szCs w:val="28"/>
          <w:rtl w:val="0"/>
          <w:lang w:val="pt-PT"/>
        </w:rPr>
        <w:t>o s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>cio-econ</w:t>
      </w:r>
      <w:r>
        <w:rPr>
          <w:sz w:val="28"/>
          <w:szCs w:val="28"/>
          <w:rtl w:val="0"/>
          <w:lang w:val="pt-PT"/>
        </w:rPr>
        <w:t>ó</w:t>
      </w:r>
      <w:r>
        <w:rPr>
          <w:sz w:val="28"/>
          <w:szCs w:val="28"/>
          <w:rtl w:val="0"/>
          <w:lang w:val="pt-PT"/>
        </w:rPr>
        <w:t xml:space="preserve">mica.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1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subscritor - H</w:t>
      </w:r>
      <w:r>
        <w:rPr>
          <w:sz w:val="28"/>
          <w:szCs w:val="28"/>
          <w:rtl w:val="0"/>
          <w:lang w:val="pt-PT"/>
        </w:rPr>
        <w:t>é</w:t>
      </w:r>
      <w:r>
        <w:rPr>
          <w:sz w:val="28"/>
          <w:szCs w:val="28"/>
          <w:rtl w:val="0"/>
          <w:lang w:val="pt-PT"/>
        </w:rPr>
        <w:t>lio Fazendeiro, Militante n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34525 na sec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da Covilh</w:t>
      </w:r>
      <w:r>
        <w:rPr>
          <w:sz w:val="28"/>
          <w:szCs w:val="28"/>
          <w:rtl w:val="0"/>
          <w:lang w:val="pt-PT"/>
        </w:rPr>
        <w:t xml:space="preserve">ã 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2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subscritor - Artur Patuleia, Militante n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84933 na sec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da Covilh</w:t>
      </w:r>
      <w:r>
        <w:rPr>
          <w:sz w:val="28"/>
          <w:szCs w:val="28"/>
          <w:rtl w:val="0"/>
          <w:lang w:val="pt-PT"/>
        </w:rPr>
        <w:t>ã</w:t>
      </w:r>
    </w:p>
    <w:p>
      <w:pPr>
        <w:pStyle w:val="Corpo"/>
        <w:spacing w:after="100" w:line="30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3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subscritor - Duarte Cordeiro, Militante n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69533, na sec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 xml:space="preserve">o de </w:t>
      </w:r>
      <w:r>
        <w:rPr>
          <w:sz w:val="28"/>
          <w:szCs w:val="28"/>
          <w:rtl w:val="0"/>
          <w:lang w:val="pt-PT"/>
        </w:rPr>
        <w:t>Á</w:t>
      </w:r>
      <w:r>
        <w:rPr>
          <w:sz w:val="28"/>
          <w:szCs w:val="28"/>
          <w:rtl w:val="0"/>
          <w:lang w:val="pt-PT"/>
        </w:rPr>
        <w:t xml:space="preserve">guas Livres </w:t>
      </w:r>
    </w:p>
    <w:p>
      <w:pPr>
        <w:pStyle w:val="Corpo"/>
        <w:spacing w:after="100" w:line="300" w:lineRule="auto"/>
        <w:jc w:val="both"/>
      </w:pPr>
      <w:r>
        <w:rPr>
          <w:sz w:val="28"/>
          <w:szCs w:val="28"/>
          <w:rtl w:val="0"/>
          <w:lang w:val="pt-PT"/>
        </w:rPr>
        <w:t>4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subscritor - Vitor Pereira, Militante n</w:t>
      </w:r>
      <w:r>
        <w:rPr>
          <w:sz w:val="28"/>
          <w:szCs w:val="28"/>
          <w:rtl w:val="0"/>
          <w:lang w:val="pt-PT"/>
        </w:rPr>
        <w:t xml:space="preserve">º </w:t>
      </w:r>
      <w:r>
        <w:rPr>
          <w:sz w:val="28"/>
          <w:szCs w:val="28"/>
          <w:rtl w:val="0"/>
          <w:lang w:val="pt-PT"/>
        </w:rPr>
        <w:t>19136, na sec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da Covilh</w:t>
      </w:r>
      <w:r>
        <w:rPr>
          <w:sz w:val="28"/>
          <w:szCs w:val="28"/>
          <w:rtl w:val="0"/>
          <w:lang w:val="pt-PT"/>
        </w:rPr>
        <w:t xml:space="preserve">ã </w:t>
      </w:r>
    </w:p>
    <w:sectPr>
      <w:headerReference w:type="default" r:id="rId4"/>
      <w:footerReference w:type="default" r:id="rId5"/>
      <w:pgSz w:w="11900" w:h="16840" w:orient="portrait"/>
      <w:pgMar w:top="2314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Style w:val="Nenhuma"/>
        <w:b w:val="1"/>
        <w:bCs w:val="1"/>
        <w:sz w:val="26"/>
        <w:szCs w:val="26"/>
      </w:rPr>
    </w:pPr>
    <w:r>
      <w:rPr>
        <w:rStyle w:val="Nenhuma"/>
        <w:b w:val="1"/>
        <w:bCs w:val="1"/>
        <w:sz w:val="26"/>
        <w:szCs w:val="26"/>
        <w:rtl w:val="0"/>
        <w:lang w:val="pt-PT"/>
      </w:rPr>
      <w:t>XXIV Congresso Nacional do Partido Socialista</w:t>
    </w:r>
    <w:r>
      <w:rPr>
        <w:rStyle w:val="Nenhuma"/>
        <w:b w:val="1"/>
        <w:bCs w:val="1"/>
        <w:sz w:val="26"/>
        <w:szCs w:val="26"/>
        <w:rtl w:val="0"/>
        <w:lang w:val="pt-PT"/>
      </w:rPr>
      <w:t xml:space="preserve">    </w:t>
    </w:r>
    <w:r>
      <w:rPr>
        <w:rStyle w:val="Nenhuma"/>
        <w:b w:val="1"/>
        <w:bCs w:val="1"/>
        <w:sz w:val="26"/>
        <w:szCs w:val="26"/>
        <w:rtl w:val="0"/>
      </w:rPr>
      <w:t xml:space="preserve"> </w:t>
    </w:r>
    <w:r>
      <w:rPr>
        <w:rStyle w:val="Nenhuma"/>
        <w:b w:val="1"/>
        <w:bCs w:val="1"/>
        <w:sz w:val="26"/>
        <w:szCs w:val="26"/>
      </w:rPr>
      <w:drawing xmlns:a="http://schemas.openxmlformats.org/drawingml/2006/main">
        <wp:inline distT="0" distB="0" distL="0" distR="0">
          <wp:extent cx="624619" cy="31231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069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9" cy="312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>
      <w:rPr>
        <w:rStyle w:val="Nenhuma"/>
        <w:b w:val="1"/>
        <w:bCs w:val="1"/>
        <w:sz w:val="26"/>
        <w:szCs w:val="26"/>
        <w:rtl w:val="0"/>
        <w:lang w:val="pt-PT"/>
      </w:rPr>
      <w:t>5 a 7 janeiro 2024</w:t>
    </w:r>
    <w:r>
      <w:rPr>
        <w:rtl w:val="0"/>
        <w:lang w:val="pt-PT"/>
      </w:rPr>
      <w:t xml:space="preserve">   </w:t>
    </w: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>
      <w:rPr>
        <w:sz w:val="20"/>
        <w:szCs w:val="20"/>
        <w:rtl w:val="0"/>
        <w:lang w:val="pt-PT"/>
      </w:rPr>
      <w:t>P</w:t>
    </w:r>
    <w:r>
      <w:rPr>
        <w:sz w:val="20"/>
        <w:szCs w:val="20"/>
        <w:rtl w:val="0"/>
        <w:lang w:val="pt-PT"/>
      </w:rPr>
      <w:t>á</w:t>
    </w:r>
    <w:r>
      <w:rPr>
        <w:sz w:val="20"/>
        <w:szCs w:val="20"/>
        <w:rtl w:val="0"/>
        <w:lang w:val="pt-PT"/>
      </w:rPr>
      <w:t>g.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pt-PT"/>
      </w:rPr>
      <w:t xml:space="preserve"> de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pt-P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hAnsi="Calibri"/>
        <w:b w:val="1"/>
        <w:bCs w:val="1"/>
        <w:sz w:val="28"/>
        <w:szCs w:val="28"/>
        <w:rtl w:val="0"/>
        <w:lang w:val="pt-PT"/>
      </w:rPr>
      <w:t>Mo</w:t>
    </w:r>
    <w:r>
      <w:rPr>
        <w:rFonts w:ascii="Calibri" w:hAnsi="Calibri" w:hint="default"/>
        <w:b w:val="1"/>
        <w:bCs w:val="1"/>
        <w:sz w:val="28"/>
        <w:szCs w:val="28"/>
        <w:rtl w:val="0"/>
        <w:lang w:val="pt-PT"/>
      </w:rPr>
      <w:t>çã</w:t>
    </w:r>
    <w:r>
      <w:rPr>
        <w:rFonts w:ascii="Calibri" w:hAnsi="Calibri"/>
        <w:b w:val="1"/>
        <w:bCs w:val="1"/>
        <w:sz w:val="28"/>
        <w:szCs w:val="28"/>
        <w:rtl w:val="0"/>
        <w:lang w:val="pt-PT"/>
      </w:rPr>
      <w:t>o Setorial</w:t>
    </w: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hAnsi="Calibri"/>
        <w:b w:val="1"/>
        <w:bCs w:val="1"/>
        <w:sz w:val="28"/>
        <w:szCs w:val="28"/>
        <w:rtl w:val="0"/>
        <w:lang w:val="pt-PT"/>
      </w:rPr>
      <w:t>Economia Verde e Digital como fator de coes</w:t>
    </w:r>
    <w:r>
      <w:rPr>
        <w:rFonts w:ascii="Calibri" w:hAnsi="Calibri" w:hint="default"/>
        <w:b w:val="1"/>
        <w:bCs w:val="1"/>
        <w:sz w:val="28"/>
        <w:szCs w:val="28"/>
        <w:rtl w:val="0"/>
        <w:lang w:val="pt-PT"/>
      </w:rPr>
      <w:t>ã</w:t>
    </w:r>
    <w:r>
      <w:rPr>
        <w:rFonts w:ascii="Calibri" w:hAnsi="Calibri"/>
        <w:b w:val="1"/>
        <w:bCs w:val="1"/>
        <w:sz w:val="28"/>
        <w:szCs w:val="28"/>
        <w:rtl w:val="0"/>
        <w:lang w:val="pt-PT"/>
      </w:rPr>
      <w:t xml:space="preserve">o territorial </w:t>
    </w:r>
  </w:p>
  <w:p>
    <w:pPr>
      <w:pStyle w:val="Cabeçalho e rodapé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>
      <w:rPr>
        <w:rFonts w:ascii="Calibri" w:hAnsi="Calibri"/>
        <w:sz w:val="28"/>
        <w:szCs w:val="28"/>
        <w:rtl w:val="0"/>
        <w:lang w:val="pt-PT"/>
      </w:rPr>
      <w:t>1</w:t>
    </w:r>
    <w:r>
      <w:rPr>
        <w:rFonts w:ascii="Calibri" w:hAnsi="Calibri" w:hint="default"/>
        <w:sz w:val="28"/>
        <w:szCs w:val="28"/>
        <w:rtl w:val="0"/>
        <w:lang w:val="pt-PT"/>
      </w:rPr>
      <w:t xml:space="preserve">º </w:t>
    </w:r>
    <w:r>
      <w:rPr>
        <w:rFonts w:ascii="Calibri" w:hAnsi="Calibri"/>
        <w:sz w:val="28"/>
        <w:szCs w:val="28"/>
        <w:rtl w:val="0"/>
        <w:lang w:val="pt-PT"/>
      </w:rPr>
      <w:t>subscritor - H</w:t>
    </w:r>
    <w:r>
      <w:rPr>
        <w:rFonts w:ascii="Calibri" w:hAnsi="Calibri" w:hint="default"/>
        <w:sz w:val="28"/>
        <w:szCs w:val="28"/>
        <w:rtl w:val="0"/>
        <w:lang w:val="pt-PT"/>
      </w:rPr>
      <w:t>é</w:t>
    </w:r>
    <w:r>
      <w:rPr>
        <w:rFonts w:ascii="Calibri" w:hAnsi="Calibri"/>
        <w:sz w:val="28"/>
        <w:szCs w:val="28"/>
        <w:rtl w:val="0"/>
        <w:lang w:val="pt-PT"/>
      </w:rPr>
      <w:t xml:space="preserve">lio Fazendeiro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a">
    <w:name w:val="Nenhuma"/>
    <w:rPr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